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9D6" w:rsidRPr="00D959D6" w:rsidRDefault="00D959D6" w:rsidP="00D959D6">
      <w:pPr>
        <w:rPr>
          <w:rFonts w:asciiTheme="majorBidi" w:hAnsiTheme="majorBidi" w:cstheme="majorBidi"/>
          <w:sz w:val="28"/>
          <w:szCs w:val="28"/>
        </w:rPr>
      </w:pPr>
      <w:r w:rsidRPr="00D959D6">
        <w:rPr>
          <w:rFonts w:asciiTheme="majorBidi" w:hAnsiTheme="majorBidi" w:cstheme="majorBidi"/>
          <w:sz w:val="28"/>
          <w:szCs w:val="28"/>
        </w:rPr>
        <w:t>Contractual Employment Regulations (Approval No. 52282/T664 dated 15/6/1999 by the Cabinet of Ministers)</w:t>
      </w:r>
    </w:p>
    <w:p w:rsidR="00D959D6" w:rsidRPr="00D959D6" w:rsidRDefault="00D959D6" w:rsidP="00D959D6">
      <w:pPr>
        <w:rPr>
          <w:rFonts w:asciiTheme="majorBidi" w:hAnsiTheme="majorBidi" w:cstheme="majorBidi"/>
          <w:sz w:val="28"/>
          <w:szCs w:val="28"/>
        </w:rPr>
      </w:pPr>
    </w:p>
    <w:p w:rsidR="00D959D6" w:rsidRPr="00D959D6" w:rsidRDefault="00D959D6" w:rsidP="00D959D6">
      <w:pPr>
        <w:rPr>
          <w:rFonts w:asciiTheme="majorBidi" w:hAnsiTheme="majorBidi" w:cstheme="majorBidi"/>
          <w:sz w:val="28"/>
          <w:szCs w:val="28"/>
        </w:rPr>
      </w:pPr>
      <w:r w:rsidRPr="00D959D6">
        <w:rPr>
          <w:rFonts w:asciiTheme="majorBidi" w:hAnsiTheme="majorBidi" w:cstheme="majorBidi"/>
          <w:sz w:val="28"/>
          <w:szCs w:val="28"/>
        </w:rPr>
        <w:t>Administrative and Employment Organization of Iran</w:t>
      </w:r>
    </w:p>
    <w:p w:rsidR="00D959D6" w:rsidRPr="00D959D6" w:rsidRDefault="00D959D6" w:rsidP="00D959D6">
      <w:pPr>
        <w:rPr>
          <w:rFonts w:asciiTheme="majorBidi" w:hAnsiTheme="majorBidi" w:cstheme="majorBidi"/>
          <w:sz w:val="28"/>
          <w:szCs w:val="28"/>
        </w:rPr>
      </w:pPr>
    </w:p>
    <w:p w:rsidR="00472E95" w:rsidRDefault="00D959D6" w:rsidP="00D959D6">
      <w:pPr>
        <w:rPr>
          <w:rFonts w:asciiTheme="majorBidi" w:hAnsiTheme="majorBidi" w:cstheme="majorBidi"/>
          <w:sz w:val="28"/>
          <w:szCs w:val="28"/>
        </w:rPr>
      </w:pPr>
      <w:r w:rsidRPr="00D959D6">
        <w:rPr>
          <w:rFonts w:asciiTheme="majorBidi" w:hAnsiTheme="majorBidi" w:cstheme="majorBidi"/>
          <w:sz w:val="28"/>
          <w:szCs w:val="28"/>
        </w:rPr>
        <w:t>In its meeting dated 1/6/1999, the Cabinet of Ministers, based on proposal No. 160/D dated 13/4/1999 by the Administrative and Employment Organization of Iran, approved the Contractual Employment Regulations, subject to Note 6 of Article 6 of the National Employment Law.</w:t>
      </w:r>
    </w:p>
    <w:p w:rsidR="00D959D6" w:rsidRDefault="00D959D6" w:rsidP="00D959D6">
      <w:pPr>
        <w:rPr>
          <w:rFonts w:asciiTheme="majorBidi" w:hAnsiTheme="majorBidi" w:cstheme="majorBidi"/>
          <w:sz w:val="28"/>
          <w:szCs w:val="28"/>
        </w:rPr>
      </w:pPr>
    </w:p>
    <w:p w:rsidR="00D959D6" w:rsidRDefault="00D959D6" w:rsidP="00D959D6">
      <w:pPr>
        <w:rPr>
          <w:rFonts w:asciiTheme="majorBidi" w:hAnsiTheme="majorBidi" w:cstheme="majorBidi"/>
          <w:sz w:val="28"/>
          <w:szCs w:val="28"/>
        </w:rPr>
      </w:pPr>
    </w:p>
    <w:p w:rsidR="00D959D6" w:rsidRPr="00D959D6" w:rsidRDefault="00D959D6" w:rsidP="00D959D6">
      <w:pPr>
        <w:rPr>
          <w:rFonts w:asciiTheme="majorBidi" w:hAnsiTheme="majorBidi" w:cstheme="majorBidi"/>
          <w:sz w:val="28"/>
          <w:szCs w:val="28"/>
        </w:rPr>
      </w:pPr>
      <w:r w:rsidRPr="00D959D6">
        <w:rPr>
          <w:rFonts w:asciiTheme="majorBidi" w:hAnsiTheme="majorBidi" w:cstheme="majorBidi"/>
          <w:noProof/>
          <w:sz w:val="28"/>
          <w:szCs w:val="28"/>
        </w:rPr>
        <w:lastRenderedPageBreak/>
        <w:drawing>
          <wp:inline distT="0" distB="0" distL="0" distR="0">
            <wp:extent cx="5943600" cy="8346332"/>
            <wp:effectExtent l="0" t="0" r="0" b="0"/>
            <wp:docPr id="1" name="Picture 1" descr="D:\برنامه های 1403\رتبه بندی\impact rankinig 2025\مستندات جمع آوری شده توسط واحد رتبه بندی\مستندات برای وب سایت\8.3.2\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برنامه های 1403\رتبه بندی\impact rankinig 2025\مستندات جمع آوری شده توسط واحد رتبه بندی\مستندات برای وب سایت\8.3.2\8.t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4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959D6" w:rsidRPr="00D959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9D6"/>
    <w:rsid w:val="00472E95"/>
    <w:rsid w:val="00D9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C0D79AE"/>
  <w15:chartTrackingRefBased/>
  <w15:docId w15:val="{585E81CE-F3B0-4ED5-81B5-88D165A2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1</cp:revision>
  <dcterms:created xsi:type="dcterms:W3CDTF">2024-11-04T07:40:00Z</dcterms:created>
  <dcterms:modified xsi:type="dcterms:W3CDTF">2024-11-04T07:41:00Z</dcterms:modified>
</cp:coreProperties>
</file>