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2025"/>
        <w:bidiVisual/>
        <w:tblW w:w="0" w:type="auto"/>
        <w:tblLook w:val="04A0" w:firstRow="1" w:lastRow="0" w:firstColumn="1" w:lastColumn="0" w:noHBand="0" w:noVBand="1"/>
      </w:tblPr>
      <w:tblGrid>
        <w:gridCol w:w="704"/>
        <w:gridCol w:w="2297"/>
        <w:gridCol w:w="6349"/>
      </w:tblGrid>
      <w:tr w:rsidR="00BC0654" w:rsidRPr="008B114D" w14:paraId="01B78BDF" w14:textId="77777777" w:rsidTr="002733FC">
        <w:trPr>
          <w:trHeight w:val="113"/>
        </w:trPr>
        <w:tc>
          <w:tcPr>
            <w:tcW w:w="704" w:type="dxa"/>
          </w:tcPr>
          <w:p w14:paraId="6BC92209" w14:textId="77777777" w:rsidR="00BC0654" w:rsidRDefault="00BC0654" w:rsidP="002733F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شاخص</w:t>
            </w:r>
          </w:p>
        </w:tc>
        <w:tc>
          <w:tcPr>
            <w:tcW w:w="2297" w:type="dxa"/>
          </w:tcPr>
          <w:p w14:paraId="1E2B9FB2" w14:textId="77777777" w:rsidR="00BC0654" w:rsidRPr="008B114D" w:rsidRDefault="00BC0654" w:rsidP="002733F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شاخص </w:t>
            </w:r>
          </w:p>
        </w:tc>
        <w:tc>
          <w:tcPr>
            <w:tcW w:w="6349" w:type="dxa"/>
          </w:tcPr>
          <w:p w14:paraId="0A9A33C7" w14:textId="77777777" w:rsidR="00BC0654" w:rsidRPr="008B114D" w:rsidRDefault="00BC0654" w:rsidP="002733F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</w:t>
            </w:r>
          </w:p>
          <w:p w14:paraId="58C1110A" w14:textId="77777777" w:rsidR="00BC0654" w:rsidRPr="008B114D" w:rsidRDefault="00BC0654" w:rsidP="002733FC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BC0654" w:rsidRPr="008B114D" w14:paraId="4F38B36E" w14:textId="77777777" w:rsidTr="002733FC">
        <w:tc>
          <w:tcPr>
            <w:tcW w:w="704" w:type="dxa"/>
          </w:tcPr>
          <w:p w14:paraId="797D9850" w14:textId="77777777" w:rsidR="00BC0654" w:rsidRDefault="00BC0654" w:rsidP="002733F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4.3.1</w:t>
            </w:r>
          </w:p>
        </w:tc>
        <w:tc>
          <w:tcPr>
            <w:tcW w:w="2297" w:type="dxa"/>
            <w:shd w:val="clear" w:color="auto" w:fill="auto"/>
          </w:tcPr>
          <w:p w14:paraId="62493F02" w14:textId="77777777" w:rsidR="00BC0654" w:rsidRPr="00CD4FB3" w:rsidRDefault="00BC06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</w:rPr>
            </w:pPr>
            <w:r w:rsidRPr="00CD4FB3">
              <w:rPr>
                <w:rFonts w:ascii="Calibri" w:eastAsia="Calibri" w:hAnsi="Calibri" w:cs="B Nazanin" w:hint="cs"/>
                <w:rtl/>
              </w:rPr>
              <w:t>منابع یادگیری مادام العمر  در سال 202</w:t>
            </w:r>
            <w:r>
              <w:rPr>
                <w:rFonts w:ascii="Calibri" w:eastAsia="Calibri" w:hAnsi="Calibri" w:cs="B Nazanin" w:hint="cs"/>
                <w:rtl/>
              </w:rPr>
              <w:t>3</w:t>
            </w:r>
            <w:r w:rsidRPr="00CD4FB3">
              <w:rPr>
                <w:rFonts w:ascii="Calibri" w:eastAsia="Calibri" w:hAnsi="Calibri" w:cs="B Nazanin" w:hint="cs"/>
                <w:rtl/>
              </w:rPr>
              <w:t xml:space="preserve"> </w:t>
            </w:r>
          </w:p>
          <w:p w14:paraId="2F030991" w14:textId="77777777" w:rsidR="00BC0654" w:rsidRPr="00CD4FB3" w:rsidRDefault="00BC06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6349" w:type="dxa"/>
            <w:shd w:val="clear" w:color="auto" w:fill="auto"/>
          </w:tcPr>
          <w:p w14:paraId="18D1696F" w14:textId="5A8DED08" w:rsidR="00BC0654" w:rsidRDefault="002733FC" w:rsidP="002733FC">
            <w:pPr>
              <w:bidi/>
              <w:contextualSpacing/>
              <w:jc w:val="center"/>
              <w:rPr>
                <w:rFonts w:ascii="Calibri" w:eastAsia="Calibri" w:hAnsi="Calibri" w:cs="B Nazanin"/>
              </w:rPr>
            </w:pPr>
            <w:hyperlink r:id="rId4" w:history="1">
              <w:r w:rsidR="00BC0654" w:rsidRPr="00C641C5">
                <w:rPr>
                  <w:rStyle w:val="Hyperlink"/>
                  <w:rFonts w:ascii="Calibri" w:eastAsia="Calibri" w:hAnsi="Calibri" w:cs="B Nazanin"/>
                </w:rPr>
                <w:t>https://educationiran.ir</w:t>
              </w:r>
              <w:r w:rsidR="00BC0654" w:rsidRPr="00C641C5">
                <w:rPr>
                  <w:rStyle w:val="Hyperlink"/>
                  <w:rFonts w:ascii="Calibri" w:eastAsia="Calibri" w:hAnsi="Calibri" w:cs="B Nazanin"/>
                  <w:rtl/>
                </w:rPr>
                <w:t>/</w:t>
              </w:r>
            </w:hyperlink>
          </w:p>
          <w:p w14:paraId="39E4DB62" w14:textId="10920599" w:rsidR="00BC0654" w:rsidRDefault="002733FC" w:rsidP="002733FC">
            <w:pPr>
              <w:bidi/>
              <w:contextualSpacing/>
              <w:jc w:val="center"/>
              <w:rPr>
                <w:rFonts w:ascii="Calibri" w:eastAsia="Calibri" w:hAnsi="Calibri" w:cs="B Nazanin"/>
              </w:rPr>
            </w:pPr>
            <w:hyperlink r:id="rId5" w:history="1">
              <w:r w:rsidR="00BC0654" w:rsidRPr="00C641C5">
                <w:rPr>
                  <w:rStyle w:val="Hyperlink"/>
                  <w:rFonts w:ascii="Calibri" w:eastAsia="Calibri" w:hAnsi="Calibri" w:cs="B Nazanin"/>
                </w:rPr>
                <w:t>https://vec.umsha.ac.ir</w:t>
              </w:r>
              <w:r w:rsidR="00BC0654" w:rsidRPr="00C641C5">
                <w:rPr>
                  <w:rStyle w:val="Hyperlink"/>
                  <w:rFonts w:ascii="Calibri" w:eastAsia="Calibri" w:hAnsi="Calibri" w:cs="B Nazanin"/>
                  <w:rtl/>
                </w:rPr>
                <w:t>/</w:t>
              </w:r>
            </w:hyperlink>
          </w:p>
          <w:p w14:paraId="75761CB8" w14:textId="12F3508F" w:rsidR="00BC0654" w:rsidRPr="00CD4FB3" w:rsidRDefault="00BC0654" w:rsidP="002733FC">
            <w:pPr>
              <w:bidi/>
              <w:contextualSpacing/>
              <w:rPr>
                <w:rFonts w:ascii="Calibri" w:eastAsia="Calibri" w:hAnsi="Calibri" w:cs="B Nazanin"/>
              </w:rPr>
            </w:pPr>
          </w:p>
        </w:tc>
      </w:tr>
      <w:tr w:rsidR="00BC0654" w:rsidRPr="008B114D" w14:paraId="5F5B2A96" w14:textId="77777777" w:rsidTr="002733FC">
        <w:trPr>
          <w:trHeight w:val="1304"/>
        </w:trPr>
        <w:tc>
          <w:tcPr>
            <w:tcW w:w="704" w:type="dxa"/>
          </w:tcPr>
          <w:p w14:paraId="4D487514" w14:textId="77777777" w:rsidR="00BC0654" w:rsidRDefault="00BC0654" w:rsidP="002733F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4.3.2</w:t>
            </w:r>
          </w:p>
        </w:tc>
        <w:tc>
          <w:tcPr>
            <w:tcW w:w="2297" w:type="dxa"/>
            <w:shd w:val="clear" w:color="auto" w:fill="auto"/>
          </w:tcPr>
          <w:p w14:paraId="6FC04C3E" w14:textId="77777777" w:rsidR="00BC0654" w:rsidRPr="00CD4FB3" w:rsidRDefault="00BC06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  <w:r w:rsidRPr="00CD4FB3">
              <w:rPr>
                <w:rFonts w:ascii="Calibri" w:eastAsia="Calibri" w:hAnsi="Calibri" w:cs="B Nazanin" w:hint="cs"/>
                <w:rtl/>
              </w:rPr>
              <w:t>رویدادهای عمومی در ارتباط با یادگیری مادام العمر در سال 202</w:t>
            </w:r>
            <w:r>
              <w:rPr>
                <w:rFonts w:ascii="Calibri" w:eastAsia="Calibri" w:hAnsi="Calibri" w:cs="B Nazanin" w:hint="cs"/>
                <w:rtl/>
              </w:rPr>
              <w:t>3</w:t>
            </w:r>
            <w:r w:rsidRPr="00CD4FB3">
              <w:rPr>
                <w:rFonts w:ascii="Calibri" w:eastAsia="Calibri" w:hAnsi="Calibri" w:cs="B Nazanin" w:hint="cs"/>
                <w:rtl/>
              </w:rPr>
              <w:t xml:space="preserve"> : </w:t>
            </w:r>
          </w:p>
          <w:p w14:paraId="3F39C768" w14:textId="77777777" w:rsidR="00BC0654" w:rsidRPr="00CD4FB3" w:rsidRDefault="00BC06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349" w:type="dxa"/>
            <w:shd w:val="clear" w:color="auto" w:fill="auto"/>
          </w:tcPr>
          <w:p w14:paraId="3D89825E" w14:textId="656B135F" w:rsidR="00BC0654" w:rsidRPr="00CD4FB3" w:rsidRDefault="00BC06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BC0654" w:rsidRPr="008B114D" w14:paraId="21BFB78E" w14:textId="77777777" w:rsidTr="002733FC">
        <w:trPr>
          <w:trHeight w:val="1061"/>
        </w:trPr>
        <w:tc>
          <w:tcPr>
            <w:tcW w:w="704" w:type="dxa"/>
          </w:tcPr>
          <w:p w14:paraId="477D9F8C" w14:textId="77777777" w:rsidR="00BC0654" w:rsidRDefault="00BC0654" w:rsidP="002733F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4.3.3</w:t>
            </w:r>
          </w:p>
        </w:tc>
        <w:tc>
          <w:tcPr>
            <w:tcW w:w="2297" w:type="dxa"/>
            <w:shd w:val="clear" w:color="auto" w:fill="auto"/>
          </w:tcPr>
          <w:p w14:paraId="395E9CA5" w14:textId="77777777" w:rsidR="00BC0654" w:rsidRPr="00CD4FB3" w:rsidRDefault="00BC06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  <w:r w:rsidRPr="00CD4FB3">
              <w:rPr>
                <w:rFonts w:ascii="Calibri" w:eastAsia="Calibri" w:hAnsi="Calibri" w:cs="B Nazanin" w:hint="cs"/>
                <w:rtl/>
              </w:rPr>
              <w:t>رویدادهای آموزش حرفه ای در راستای یادگیری مادام العمر در سال 202</w:t>
            </w:r>
            <w:r>
              <w:rPr>
                <w:rFonts w:ascii="Calibri" w:eastAsia="Calibri" w:hAnsi="Calibri" w:cs="B Nazanin" w:hint="cs"/>
                <w:rtl/>
              </w:rPr>
              <w:t>3</w:t>
            </w:r>
            <w:r w:rsidRPr="00CD4FB3">
              <w:rPr>
                <w:rFonts w:ascii="Calibri" w:eastAsia="Calibri" w:hAnsi="Calibri" w:cs="B Nazanin" w:hint="cs"/>
                <w:rtl/>
              </w:rPr>
              <w:t xml:space="preserve">: </w:t>
            </w:r>
          </w:p>
        </w:tc>
        <w:tc>
          <w:tcPr>
            <w:tcW w:w="6349" w:type="dxa"/>
            <w:shd w:val="clear" w:color="auto" w:fill="auto"/>
          </w:tcPr>
          <w:p w14:paraId="52CD1C33" w14:textId="77777777" w:rsidR="00BC0654" w:rsidRPr="00CD4FB3" w:rsidRDefault="00BC06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BC0654" w:rsidRPr="008B114D" w14:paraId="24AE4863" w14:textId="77777777" w:rsidTr="002733FC">
        <w:trPr>
          <w:trHeight w:val="1024"/>
        </w:trPr>
        <w:tc>
          <w:tcPr>
            <w:tcW w:w="704" w:type="dxa"/>
          </w:tcPr>
          <w:p w14:paraId="52F1930F" w14:textId="77777777" w:rsidR="00BC0654" w:rsidRDefault="00BC0654" w:rsidP="002733F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4.3.4</w:t>
            </w:r>
          </w:p>
        </w:tc>
        <w:tc>
          <w:tcPr>
            <w:tcW w:w="2297" w:type="dxa"/>
            <w:shd w:val="clear" w:color="auto" w:fill="auto"/>
          </w:tcPr>
          <w:p w14:paraId="18A38370" w14:textId="77777777" w:rsidR="00BC0654" w:rsidRPr="00CD4FB3" w:rsidRDefault="00BC06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  <w:r w:rsidRPr="00096728">
              <w:rPr>
                <w:rFonts w:ascii="Calibri" w:eastAsia="Calibri" w:hAnsi="Calibri" w:cs="B Nazanin" w:hint="cs"/>
                <w:rtl/>
              </w:rPr>
              <w:t xml:space="preserve">فعالیت های آموزشی فراتر از محیط دانشگاه در سال 2023: </w:t>
            </w:r>
          </w:p>
        </w:tc>
        <w:tc>
          <w:tcPr>
            <w:tcW w:w="6349" w:type="dxa"/>
            <w:shd w:val="clear" w:color="auto" w:fill="auto"/>
          </w:tcPr>
          <w:p w14:paraId="5CDE6DA9" w14:textId="77777777" w:rsidR="00BC0654" w:rsidRDefault="000C75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حضور پزشکان و اساتید دانشگاه علوم پزشکی همدان در صدا و سیما جهت آموزش عموم مردم در حوزه های بهداشت و پزشکی</w:t>
            </w:r>
          </w:p>
          <w:p w14:paraId="00FBF316" w14:textId="010F9F08" w:rsidR="000C7554" w:rsidRDefault="002733FC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  <w:hyperlink r:id="rId6" w:history="1">
              <w:r w:rsidR="000C7554" w:rsidRPr="00A866B5">
                <w:rPr>
                  <w:rStyle w:val="Hyperlink"/>
                  <w:rFonts w:ascii="Calibri" w:eastAsia="Calibri" w:hAnsi="Calibri" w:cs="B Nazanin"/>
                </w:rPr>
                <w:t>https://telewebion.com/live/sina</w:t>
              </w:r>
            </w:hyperlink>
          </w:p>
          <w:p w14:paraId="73D07764" w14:textId="5FD50ED6" w:rsidR="000C7554" w:rsidRDefault="002733FC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  <w:hyperlink r:id="rId7" w:history="1">
              <w:r w:rsidR="000C7554" w:rsidRPr="00A866B5">
                <w:rPr>
                  <w:rStyle w:val="Hyperlink"/>
                  <w:rFonts w:ascii="Calibri" w:eastAsia="Calibri" w:hAnsi="Calibri" w:cs="B Nazanin"/>
                </w:rPr>
                <w:t>https://zil.ink/umsha</w:t>
              </w:r>
            </w:hyperlink>
          </w:p>
          <w:p w14:paraId="53F6231F" w14:textId="0263A704" w:rsidR="000C7554" w:rsidRPr="00CD4FB3" w:rsidRDefault="000C7554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BC0654" w:rsidRPr="008B114D" w14:paraId="2382E840" w14:textId="77777777" w:rsidTr="002733FC">
        <w:trPr>
          <w:trHeight w:val="1304"/>
        </w:trPr>
        <w:tc>
          <w:tcPr>
            <w:tcW w:w="704" w:type="dxa"/>
          </w:tcPr>
          <w:p w14:paraId="4D1BB590" w14:textId="77777777" w:rsidR="00BC0654" w:rsidRDefault="00BC0654" w:rsidP="002733F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4.3.5</w:t>
            </w:r>
          </w:p>
        </w:tc>
        <w:tc>
          <w:tcPr>
            <w:tcW w:w="2297" w:type="dxa"/>
            <w:shd w:val="clear" w:color="auto" w:fill="auto"/>
          </w:tcPr>
          <w:p w14:paraId="3B11269C" w14:textId="77777777" w:rsidR="00BC0654" w:rsidRPr="00CD4FB3" w:rsidRDefault="00BC0654" w:rsidP="002733FC">
            <w:pPr>
              <w:bidi/>
              <w:contextualSpacing/>
              <w:rPr>
                <w:rFonts w:ascii="Calibri" w:eastAsia="Calibri" w:hAnsi="Calibri" w:cs="B Nazanin"/>
                <w:rtl/>
              </w:rPr>
            </w:pPr>
            <w:r w:rsidRPr="00CD4FB3">
              <w:rPr>
                <w:rFonts w:ascii="Calibri" w:eastAsia="Calibri" w:hAnsi="Calibri" w:cs="B Nazanin" w:hint="cs"/>
                <w:rtl/>
              </w:rPr>
              <w:t>خط مشی دسترسی به یادگیری های مادام العمر تا سال 202</w:t>
            </w:r>
            <w:r>
              <w:rPr>
                <w:rFonts w:ascii="Calibri" w:eastAsia="Calibri" w:hAnsi="Calibri" w:cs="B Nazanin" w:hint="cs"/>
                <w:rtl/>
              </w:rPr>
              <w:t>3</w:t>
            </w:r>
            <w:r w:rsidRPr="00CD4FB3">
              <w:rPr>
                <w:rFonts w:ascii="Calibri" w:eastAsia="Calibri" w:hAnsi="Calibri" w:cs="B Nazanin" w:hint="cs"/>
                <w:rtl/>
              </w:rPr>
              <w:t>: سیاست ها یا برنامه ها که دسترسی به این آموزش ها را برای همه افراد جامعه تظمین کند  بدون در نظر گرفتن تبعیض.</w:t>
            </w:r>
          </w:p>
        </w:tc>
        <w:tc>
          <w:tcPr>
            <w:tcW w:w="6349" w:type="dxa"/>
            <w:shd w:val="clear" w:color="auto" w:fill="auto"/>
          </w:tcPr>
          <w:p w14:paraId="1715307B" w14:textId="77777777" w:rsidR="00BC0654" w:rsidRDefault="00EC158A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به صورت </w:t>
            </w:r>
            <w:r>
              <w:rPr>
                <w:rFonts w:ascii="Calibri" w:eastAsia="Calibri" w:hAnsi="Calibri" w:cs="B Nazanin"/>
              </w:rPr>
              <w:t>pdf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ضمیمه شده است.</w:t>
            </w:r>
          </w:p>
          <w:p w14:paraId="3BE035F6" w14:textId="3E1EEA30" w:rsidR="00EC158A" w:rsidRPr="00CD4FB3" w:rsidRDefault="00EC158A" w:rsidP="002733FC">
            <w:pPr>
              <w:bidi/>
              <w:contextualSpacing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bookmarkStart w:id="0" w:name="_GoBack"/>
            <w:bookmarkEnd w:id="0"/>
          </w:p>
        </w:tc>
      </w:tr>
    </w:tbl>
    <w:p w14:paraId="4AA54D8C" w14:textId="1F76DD88" w:rsidR="00B753E3" w:rsidRDefault="002733FC">
      <w:r>
        <w:t>4.3 Lifelong learning measures</w:t>
      </w:r>
    </w:p>
    <w:p w14:paraId="2E1D7569" w14:textId="77777777" w:rsidR="002733FC" w:rsidRDefault="002733FC"/>
    <w:sectPr w:rsidR="002733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2DC"/>
    <w:rsid w:val="00093577"/>
    <w:rsid w:val="000C7554"/>
    <w:rsid w:val="001C5178"/>
    <w:rsid w:val="002733FC"/>
    <w:rsid w:val="005A264B"/>
    <w:rsid w:val="00801501"/>
    <w:rsid w:val="009C12DC"/>
    <w:rsid w:val="00B753E3"/>
    <w:rsid w:val="00BC0654"/>
    <w:rsid w:val="00D46A8E"/>
    <w:rsid w:val="00EC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196DD4C"/>
  <w15:chartTrackingRefBased/>
  <w15:docId w15:val="{B4FE93B1-CC8E-43EB-AC78-B648338E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654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065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C065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C06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il.ink/umsh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lewebion.com/live/sina" TargetMode="External"/><Relationship Id="rId5" Type="http://schemas.openxmlformats.org/officeDocument/2006/relationships/hyperlink" Target="https://vec.umsha.ac.ir/" TargetMode="External"/><Relationship Id="rId4" Type="http://schemas.openxmlformats.org/officeDocument/2006/relationships/hyperlink" Target="https://educationiran.ir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Learning</dc:creator>
  <cp:keywords/>
  <dc:description/>
  <cp:lastModifiedBy>DearUser</cp:lastModifiedBy>
  <cp:revision>6</cp:revision>
  <dcterms:created xsi:type="dcterms:W3CDTF">2024-10-19T07:28:00Z</dcterms:created>
  <dcterms:modified xsi:type="dcterms:W3CDTF">2024-10-26T08:14:00Z</dcterms:modified>
</cp:coreProperties>
</file>